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9AA6D6">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p w14:paraId="14028DDA">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_GB2312" w:hAnsi="仿宋_GB2312" w:eastAsia="仿宋_GB2312" w:cs="仿宋_GB2312"/>
          <w:sz w:val="32"/>
          <w:szCs w:val="32"/>
          <w:lang w:val="en-US" w:eastAsia="zh-CN"/>
        </w:rPr>
      </w:pPr>
    </w:p>
    <w:p w14:paraId="43183FAB">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委托检验</w:t>
      </w:r>
      <w:r>
        <w:rPr>
          <w:rFonts w:hint="eastAsia" w:ascii="方正小标宋简体" w:hAnsi="方正小标宋简体" w:eastAsia="方正小标宋简体" w:cs="方正小标宋简体"/>
          <w:sz w:val="44"/>
          <w:szCs w:val="44"/>
        </w:rPr>
        <w:t>服务项目内容</w:t>
      </w:r>
    </w:p>
    <w:p w14:paraId="2654C4C9">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_GB2312" w:hAnsi="仿宋_GB2312" w:eastAsia="仿宋_GB2312" w:cs="仿宋_GB2312"/>
          <w:sz w:val="32"/>
          <w:szCs w:val="32"/>
          <w:lang w:val="en-US" w:eastAsia="zh-CN"/>
        </w:rPr>
      </w:pPr>
    </w:p>
    <w:p w14:paraId="7443A44B">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黑体" w:hAnsi="黑体" w:eastAsia="黑体" w:cs="黑体"/>
          <w:sz w:val="32"/>
          <w:szCs w:val="32"/>
        </w:rPr>
      </w:pPr>
      <w:r>
        <w:rPr>
          <w:rFonts w:hint="eastAsia" w:ascii="黑体" w:hAnsi="黑体" w:eastAsia="黑体" w:cs="黑体"/>
          <w:sz w:val="32"/>
          <w:szCs w:val="32"/>
          <w:lang w:val="en-US" w:eastAsia="zh-CN"/>
        </w:rPr>
        <w:t>一、项目概况</w:t>
      </w:r>
    </w:p>
    <w:p w14:paraId="3F52F093">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textAlignment w:val="baseline"/>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（一）项目名称</w:t>
      </w:r>
    </w:p>
    <w:p w14:paraId="3C7DC3C3">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第三方检验检测外送（检验、病理）服务项目</w:t>
      </w:r>
    </w:p>
    <w:p w14:paraId="34F4654B">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textAlignment w:val="baseline"/>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（二）</w:t>
      </w:r>
      <w:r>
        <w:rPr>
          <w:rFonts w:hint="eastAsia" w:ascii="仿宋_GB2312" w:hAnsi="仿宋_GB2312" w:eastAsia="仿宋_GB2312" w:cs="仿宋_GB2312"/>
          <w:sz w:val="32"/>
          <w:szCs w:val="32"/>
          <w:lang w:val="en-US" w:eastAsia="zh-CN"/>
        </w:rPr>
        <w:t>本项目所需服务具体涉及服务项目及内容根据实际情况确定，</w:t>
      </w:r>
      <w:r>
        <w:rPr>
          <w:rFonts w:hint="eastAsia" w:ascii="仿宋_GB2312" w:hAnsi="仿宋_GB2312" w:eastAsia="仿宋_GB2312" w:cs="仿宋_GB2312"/>
          <w:color w:val="auto"/>
          <w:sz w:val="32"/>
          <w:szCs w:val="32"/>
          <w:lang w:val="en-US" w:eastAsia="zh-CN"/>
        </w:rPr>
        <w:t>采购预算总金额约为85万元/年（以实际采购金额为准），服务供应期为1年（采购期限自2024年8月1日至2025年7月31日）。</w:t>
      </w:r>
    </w:p>
    <w:p w14:paraId="0F582593">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二、供应商服务项目及资质要求</w:t>
      </w:r>
    </w:p>
    <w:p w14:paraId="19759812">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textAlignment w:val="baseline"/>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（一）服务项目</w:t>
      </w:r>
    </w:p>
    <w:p w14:paraId="048BAE9E">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医院临床需要但是暂未开展的检查项目，包括但不限于目前外送的检查项目。</w:t>
      </w:r>
    </w:p>
    <w:p w14:paraId="2C6CBAAF">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textAlignment w:val="baseline"/>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（二）供应商资质要求</w:t>
      </w:r>
    </w:p>
    <w:p w14:paraId="6A49FE23">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1.供应商参加政府采购活动必须符合《中华人民共和国政府采购法》第二十二条的要求。</w:t>
      </w:r>
    </w:p>
    <w:p w14:paraId="44D00FD0">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2.供应商实验室资质</w:t>
      </w:r>
    </w:p>
    <w:p w14:paraId="7FE2DE44">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提供医疗机构执业许可证</w:t>
      </w:r>
      <w:r>
        <w:rPr>
          <w:rFonts w:hint="eastAsia" w:ascii="仿宋_GB2312" w:hAnsi="仿宋_GB2312" w:eastAsia="仿宋_GB2312" w:cs="仿宋_GB2312"/>
          <w:sz w:val="32"/>
          <w:szCs w:val="32"/>
          <w:lang w:val="en-US" w:eastAsia="zh-CN"/>
        </w:rPr>
        <w:t>和营业执照</w:t>
      </w:r>
      <w:r>
        <w:rPr>
          <w:rFonts w:hint="eastAsia" w:ascii="仿宋_GB2312" w:hAnsi="仿宋_GB2312" w:eastAsia="仿宋_GB2312" w:cs="仿宋_GB2312"/>
          <w:sz w:val="32"/>
          <w:szCs w:val="32"/>
        </w:rPr>
        <w:t xml:space="preserve">复印件。                        </w:t>
      </w:r>
    </w:p>
    <w:p w14:paraId="3820B97F">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具有通过</w:t>
      </w:r>
      <w:r>
        <w:rPr>
          <w:rFonts w:hint="eastAsia" w:ascii="仿宋_GB2312" w:hAnsi="仿宋_GB2312" w:eastAsia="仿宋_GB2312" w:cs="仿宋_GB2312"/>
          <w:color w:val="auto"/>
          <w:sz w:val="32"/>
          <w:szCs w:val="32"/>
          <w:lang w:val="en-US" w:eastAsia="zh-Hans"/>
        </w:rPr>
        <w:t>广东省临床检验中心</w:t>
      </w:r>
      <w:r>
        <w:rPr>
          <w:rFonts w:hint="eastAsia" w:ascii="仿宋_GB2312" w:hAnsi="仿宋_GB2312" w:eastAsia="仿宋_GB2312" w:cs="仿宋_GB2312"/>
          <w:color w:val="auto"/>
          <w:sz w:val="32"/>
          <w:szCs w:val="32"/>
        </w:rPr>
        <w:t>临床基因扩增检验实验室</w:t>
      </w:r>
      <w:r>
        <w:rPr>
          <w:rFonts w:hint="eastAsia" w:ascii="仿宋_GB2312" w:hAnsi="仿宋_GB2312" w:eastAsia="仿宋_GB2312" w:cs="仿宋_GB2312"/>
          <w:color w:val="auto"/>
          <w:sz w:val="32"/>
          <w:szCs w:val="32"/>
          <w:lang w:val="en-US" w:eastAsia="zh-Hans"/>
        </w:rPr>
        <w:t>技术审核</w:t>
      </w:r>
      <w:r>
        <w:rPr>
          <w:rFonts w:hint="eastAsia" w:ascii="仿宋_GB2312" w:hAnsi="仿宋_GB2312" w:eastAsia="仿宋_GB2312" w:cs="仿宋_GB2312"/>
          <w:color w:val="auto"/>
          <w:sz w:val="32"/>
          <w:szCs w:val="32"/>
        </w:rPr>
        <w:t>合格证</w:t>
      </w:r>
      <w:r>
        <w:rPr>
          <w:rFonts w:hint="eastAsia" w:ascii="仿宋_GB2312" w:hAnsi="仿宋_GB2312" w:eastAsia="仿宋_GB2312" w:cs="仿宋_GB2312"/>
          <w:color w:val="auto"/>
          <w:sz w:val="32"/>
          <w:szCs w:val="32"/>
          <w:lang w:val="en-US" w:eastAsia="zh-Hans"/>
        </w:rPr>
        <w:t>书</w:t>
      </w:r>
      <w:r>
        <w:rPr>
          <w:rFonts w:hint="eastAsia" w:ascii="仿宋_GB2312" w:hAnsi="仿宋_GB2312" w:eastAsia="仿宋_GB2312" w:cs="仿宋_GB2312"/>
          <w:color w:val="auto"/>
          <w:sz w:val="32"/>
          <w:szCs w:val="32"/>
        </w:rPr>
        <w:t>，并提供技术</w:t>
      </w:r>
      <w:r>
        <w:rPr>
          <w:rFonts w:hint="eastAsia" w:ascii="仿宋_GB2312" w:hAnsi="仿宋_GB2312" w:eastAsia="仿宋_GB2312" w:cs="仿宋_GB2312"/>
          <w:color w:val="auto"/>
          <w:sz w:val="32"/>
          <w:szCs w:val="32"/>
          <w:lang w:val="en-US" w:eastAsia="zh-Hans"/>
        </w:rPr>
        <w:t>审核</w:t>
      </w:r>
      <w:r>
        <w:rPr>
          <w:rFonts w:hint="eastAsia" w:ascii="仿宋_GB2312" w:hAnsi="仿宋_GB2312" w:eastAsia="仿宋_GB2312" w:cs="仿宋_GB2312"/>
          <w:color w:val="auto"/>
          <w:sz w:val="32"/>
          <w:szCs w:val="32"/>
        </w:rPr>
        <w:t>合</w:t>
      </w:r>
      <w:r>
        <w:rPr>
          <w:rFonts w:hint="eastAsia" w:ascii="仿宋_GB2312" w:hAnsi="仿宋_GB2312" w:eastAsia="仿宋_GB2312" w:cs="仿宋_GB2312"/>
          <w:sz w:val="32"/>
          <w:szCs w:val="32"/>
        </w:rPr>
        <w:t>格证书复印件。</w:t>
      </w:r>
    </w:p>
    <w:p w14:paraId="433B7C45">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（3）具备二级</w:t>
      </w:r>
      <w:r>
        <w:rPr>
          <w:rFonts w:hint="eastAsia" w:ascii="仿宋_GB2312" w:hAnsi="仿宋_GB2312" w:eastAsia="仿宋_GB2312" w:cs="仿宋_GB2312"/>
          <w:sz w:val="32"/>
          <w:szCs w:val="32"/>
        </w:rPr>
        <w:t>病原微生物实验室</w:t>
      </w:r>
      <w:r>
        <w:rPr>
          <w:rFonts w:hint="eastAsia" w:ascii="仿宋_GB2312" w:hAnsi="仿宋_GB2312" w:eastAsia="仿宋_GB2312" w:cs="仿宋_GB2312"/>
          <w:sz w:val="32"/>
          <w:szCs w:val="32"/>
          <w:lang w:val="en-US" w:eastAsia="zh-CN"/>
        </w:rPr>
        <w:t>资质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并提供</w:t>
      </w:r>
      <w:r>
        <w:rPr>
          <w:rFonts w:hint="eastAsia" w:ascii="仿宋_GB2312" w:hAnsi="仿宋_GB2312" w:eastAsia="仿宋_GB2312" w:cs="仿宋_GB2312"/>
          <w:sz w:val="32"/>
          <w:szCs w:val="32"/>
          <w:lang w:val="en-US" w:eastAsia="zh-CN"/>
        </w:rPr>
        <w:t>备案通知书</w:t>
      </w:r>
      <w:r>
        <w:rPr>
          <w:rFonts w:hint="eastAsia" w:ascii="仿宋_GB2312" w:hAnsi="仿宋_GB2312" w:eastAsia="仿宋_GB2312" w:cs="仿宋_GB2312"/>
          <w:sz w:val="32"/>
          <w:szCs w:val="32"/>
        </w:rPr>
        <w:t>复印件。</w:t>
      </w:r>
    </w:p>
    <w:p w14:paraId="549AD7E6">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三、报价要求</w:t>
      </w:r>
    </w:p>
    <w:p w14:paraId="76FDBD12">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textAlignment w:val="baseline"/>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lang w:val="en-US" w:eastAsia="zh-CN"/>
        </w:rPr>
        <w:t>（一）</w:t>
      </w:r>
      <w:r>
        <w:rPr>
          <w:rFonts w:hint="eastAsia" w:ascii="仿宋_GB2312" w:hAnsi="仿宋_GB2312" w:eastAsia="仿宋_GB2312" w:cs="仿宋_GB2312"/>
          <w:sz w:val="32"/>
          <w:szCs w:val="32"/>
          <w:lang w:eastAsia="zh-CN"/>
        </w:rPr>
        <w:t>供应商</w:t>
      </w:r>
      <w:r>
        <w:rPr>
          <w:rFonts w:hint="eastAsia" w:ascii="仿宋_GB2312" w:hAnsi="仿宋_GB2312" w:eastAsia="仿宋_GB2312" w:cs="仿宋_GB2312"/>
          <w:sz w:val="32"/>
          <w:szCs w:val="32"/>
        </w:rPr>
        <w:t>须按照</w:t>
      </w:r>
      <w:r>
        <w:rPr>
          <w:rFonts w:hint="eastAsia" w:ascii="仿宋_GB2312" w:hAnsi="仿宋_GB2312" w:eastAsia="仿宋_GB2312" w:cs="仿宋_GB2312"/>
          <w:sz w:val="32"/>
          <w:szCs w:val="32"/>
          <w:lang w:val="en-US" w:eastAsia="zh-Hans"/>
        </w:rPr>
        <w:t>云浮市最新</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val="en-US" w:eastAsia="zh-Hans"/>
        </w:rPr>
        <w:t>基本医疗服务价格项目目录价格表</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color w:val="auto"/>
          <w:sz w:val="32"/>
          <w:szCs w:val="32"/>
        </w:rPr>
        <w:t>，对本项目所有检验内容提供统一的</w:t>
      </w:r>
      <w:r>
        <w:rPr>
          <w:rFonts w:hint="eastAsia" w:ascii="仿宋_GB2312" w:hAnsi="仿宋_GB2312" w:eastAsia="仿宋_GB2312" w:cs="仿宋_GB2312"/>
          <w:color w:val="auto"/>
          <w:sz w:val="32"/>
          <w:szCs w:val="32"/>
          <w:lang w:val="en-US" w:eastAsia="zh-CN"/>
        </w:rPr>
        <w:t>下浮率</w:t>
      </w:r>
      <w:r>
        <w:rPr>
          <w:rFonts w:hint="eastAsia" w:ascii="仿宋_GB2312" w:hAnsi="仿宋_GB2312" w:eastAsia="仿宋_GB2312" w:cs="仿宋_GB2312"/>
          <w:color w:val="auto"/>
          <w:sz w:val="32"/>
          <w:szCs w:val="32"/>
        </w:rPr>
        <w:t>报价，</w:t>
      </w:r>
      <w:r>
        <w:rPr>
          <w:rFonts w:hint="eastAsia" w:ascii="仿宋_GB2312" w:hAnsi="仿宋_GB2312" w:eastAsia="仿宋_GB2312" w:cs="仿宋_GB2312"/>
          <w:color w:val="auto"/>
          <w:sz w:val="32"/>
          <w:szCs w:val="32"/>
          <w:lang w:val="en-US" w:eastAsia="zh-CN"/>
        </w:rPr>
        <w:t>下浮率不低于37%</w:t>
      </w:r>
      <w:r>
        <w:rPr>
          <w:rFonts w:hint="eastAsia" w:ascii="仿宋_GB2312" w:hAnsi="仿宋_GB2312" w:eastAsia="仿宋_GB2312" w:cs="仿宋_GB2312"/>
          <w:color w:val="auto"/>
          <w:sz w:val="32"/>
          <w:szCs w:val="32"/>
        </w:rPr>
        <w:t>。</w:t>
      </w:r>
    </w:p>
    <w:p w14:paraId="0082DE4E">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textAlignment w:val="baseline"/>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（二）</w:t>
      </w:r>
      <w:r>
        <w:rPr>
          <w:rFonts w:hint="eastAsia" w:ascii="仿宋_GB2312" w:hAnsi="仿宋_GB2312" w:eastAsia="仿宋_GB2312" w:cs="仿宋_GB2312"/>
          <w:sz w:val="32"/>
          <w:szCs w:val="32"/>
          <w:lang w:val="en-US" w:eastAsia="zh-CN"/>
        </w:rPr>
        <w:t>本项目的报价应包含检验项目的检验费用、检验标本接收保存运输费用、检验报告输出费用、耗材、取材工具、结果查询费用、人员费用、税费、资料费、含税发票、合同实施过程中的应预见和不可预见费用。</w:t>
      </w:r>
    </w:p>
    <w:p w14:paraId="5CED8B3C">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textAlignment w:val="baseline"/>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lang w:val="en-US" w:eastAsia="zh-CN"/>
        </w:rPr>
        <w:t>（三）</w:t>
      </w:r>
      <w:r>
        <w:rPr>
          <w:rFonts w:hint="eastAsia" w:ascii="仿宋_GB2312" w:hAnsi="仿宋_GB2312" w:eastAsia="仿宋_GB2312" w:cs="仿宋_GB2312"/>
          <w:sz w:val="32"/>
          <w:szCs w:val="32"/>
          <w:lang w:eastAsia="zh-CN"/>
        </w:rPr>
        <w:t>供应商</w:t>
      </w:r>
      <w:r>
        <w:rPr>
          <w:rFonts w:hint="eastAsia" w:ascii="仿宋_GB2312" w:hAnsi="仿宋_GB2312" w:eastAsia="仿宋_GB2312" w:cs="仿宋_GB2312"/>
          <w:sz w:val="32"/>
          <w:szCs w:val="32"/>
        </w:rPr>
        <w:t>应充分考虑招标文件规定的及合同包含的所有风险、责任等发生的费用，投标报价应包含本项目实施过程中发生的所有费用，</w:t>
      </w:r>
      <w:r>
        <w:rPr>
          <w:rFonts w:hint="eastAsia" w:ascii="仿宋_GB2312" w:hAnsi="仿宋_GB2312" w:eastAsia="仿宋_GB2312" w:cs="仿宋_GB2312"/>
          <w:sz w:val="32"/>
          <w:szCs w:val="32"/>
          <w:lang w:eastAsia="zh-CN"/>
        </w:rPr>
        <w:t>医院</w:t>
      </w:r>
      <w:r>
        <w:rPr>
          <w:rFonts w:hint="eastAsia" w:ascii="仿宋_GB2312" w:hAnsi="仿宋_GB2312" w:eastAsia="仿宋_GB2312" w:cs="仿宋_GB2312"/>
          <w:sz w:val="32"/>
          <w:szCs w:val="32"/>
        </w:rPr>
        <w:t>不再另支付任何费用。</w:t>
      </w:r>
    </w:p>
    <w:p w14:paraId="354B4595">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textAlignment w:val="baseline"/>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（四）</w:t>
      </w:r>
      <w:r>
        <w:rPr>
          <w:rFonts w:hint="eastAsia" w:ascii="仿宋_GB2312" w:hAnsi="仿宋_GB2312" w:eastAsia="仿宋_GB2312" w:cs="仿宋_GB2312"/>
          <w:sz w:val="32"/>
          <w:szCs w:val="32"/>
          <w:lang w:val="en-US" w:eastAsia="zh-CN"/>
        </w:rPr>
        <w:t>服务期限：自合同签订生效之日起1年。</w:t>
      </w:r>
    </w:p>
    <w:p w14:paraId="185DDDEA">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四、服务要求</w:t>
      </w:r>
    </w:p>
    <w:p w14:paraId="375F94CD">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textAlignment w:val="baseline"/>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（一）服务要求</w:t>
      </w:r>
    </w:p>
    <w:p w14:paraId="4D3609BB">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医院每周周一至周六在指定时间将所需外送检查项目标本完成取样并送到指定执行科室，供应商安排固定配送接收标本。若发生提前或放假等情况，供应商有义务主动通知医院。若发生特殊情况：如遇恶劣天气、车辆故障、交通事故等情况需调整工作安排的，应及时告知医院，并妥善处理确保医院外送标本的正常检测。</w:t>
      </w:r>
    </w:p>
    <w:p w14:paraId="15FBE2CF">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2.运输条件：提供专业冷链物流服务，温度监控功能，确保标本运输过程的安全及有效。</w:t>
      </w:r>
    </w:p>
    <w:p w14:paraId="3B029EB8">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3.未经医院同意，不得将医院标本用于他用。</w:t>
      </w:r>
    </w:p>
    <w:p w14:paraId="38784D5C">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4.为医院提供检验单补单服务。</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p>
    <w:p w14:paraId="197CEF66">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5.在医院科研项目有检测需求时，可提供优惠或便利服务。</w:t>
      </w:r>
    </w:p>
    <w:p w14:paraId="0DDB6B47">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6.根据医院的项目设定单项检查项目和组合检查项目。</w:t>
      </w:r>
    </w:p>
    <w:p w14:paraId="22802B16">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7.在项目服务期间，医院有权根据业务发展和临床的需求对外检目录进行增减或修改，供应商应予以配合。</w:t>
      </w:r>
    </w:p>
    <w:p w14:paraId="105FABF0">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8.供应商仅是获得服务资格，医院无法预计也无法保证供应商固定的检验任务量，检验任务量以医院实际委托检验数量为准。</w:t>
      </w:r>
    </w:p>
    <w:p w14:paraId="105F8FD3">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textAlignment w:val="baseline"/>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（二）质量保障</w:t>
      </w:r>
    </w:p>
    <w:p w14:paraId="15E30CA8">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供应商需保证委托检验项目检测质量，具备委托检验项目的相应检测设备、技术人才，并有检验前、检验中、检验后质量保障措施。检验前质量保障措施包括标本采集要求培训，标本箱运送温度控制及安全性保障；检验中质量保障措施包括标准化的操作规范、室内质控、室间质评等；检验后质量保障措施包括异常结果处理流程、临床提出异议的检验报告处理流程等。</w:t>
      </w:r>
    </w:p>
    <w:p w14:paraId="07B90597">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2.供应商的实验室具有完善的质量管理体系，每年参加国家和省卫生健康委</w:t>
      </w:r>
      <w:r>
        <w:rPr>
          <w:rFonts w:hint="eastAsia" w:ascii="仿宋_GB2312" w:hAnsi="仿宋_GB2312" w:eastAsia="仿宋_GB2312" w:cs="仿宋_GB2312"/>
          <w:sz w:val="32"/>
          <w:szCs w:val="32"/>
          <w:lang w:val="en-US" w:eastAsia="zh-Hans"/>
        </w:rPr>
        <w:t>临床检验中心</w:t>
      </w:r>
      <w:r>
        <w:rPr>
          <w:rFonts w:hint="eastAsia" w:ascii="仿宋_GB2312" w:hAnsi="仿宋_GB2312" w:eastAsia="仿宋_GB2312" w:cs="仿宋_GB2312"/>
          <w:sz w:val="32"/>
          <w:szCs w:val="32"/>
          <w:lang w:val="en-US" w:eastAsia="zh-CN"/>
        </w:rPr>
        <w:t>、省临检中心的质量控制和室间质评工作。因投标实验室质量因素导致的医疗纠纷、事故等不良后果的，由此产生的赔偿责任由供应商承担。</w:t>
      </w:r>
    </w:p>
    <w:p w14:paraId="27F1DF75">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textAlignment w:val="baseline"/>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（三）标本接收送检要求</w:t>
      </w:r>
    </w:p>
    <w:p w14:paraId="287C0F7E">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1.供应商具有规范的标本接收、登记和包装流程，保证标本质量和安全，确保标本顺利交接，方便查核。</w:t>
      </w:r>
    </w:p>
    <w:p w14:paraId="3553251C">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2.供应商标本接收人员要通过严格培训，负责标本质量的初检、标识的核对，标本的接收登记及包装储存。</w:t>
      </w:r>
    </w:p>
    <w:p w14:paraId="18E2C37B">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3.供应商必须确保及时接收、送检标本和及时检验。标本不符合检验要求时，应及时通知医院重新取样。</w:t>
      </w:r>
    </w:p>
    <w:p w14:paraId="180601F6">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4.标本在送检过程中出现延迟、遗漏、丢失等情况，供应商应有完善的应急预案予以妥善解决，否则供应商应承担相应责任。</w:t>
      </w:r>
    </w:p>
    <w:p w14:paraId="52F3FAD2">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楷体_GB2312" w:hAnsi="楷体_GB2312" w:eastAsia="楷体_GB2312" w:cs="楷体_GB2312"/>
          <w:b/>
          <w:bCs/>
          <w:sz w:val="32"/>
          <w:szCs w:val="32"/>
          <w:lang w:val="en-US" w:eastAsia="zh-CN"/>
        </w:rPr>
      </w:pPr>
      <w:r>
        <w:rPr>
          <w:rFonts w:hint="eastAsia" w:ascii="仿宋_GB2312" w:hAnsi="仿宋_GB2312" w:eastAsia="仿宋_GB2312" w:cs="仿宋_GB2312"/>
          <w:sz w:val="32"/>
          <w:szCs w:val="32"/>
          <w:lang w:val="en-US" w:eastAsia="zh-CN"/>
        </w:rPr>
        <w:t>5.部分特殊检查项目需要的采样器、知情同意书、专用申请单等由供应商提供。</w:t>
      </w:r>
    </w:p>
    <w:p w14:paraId="613ADD1D">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textAlignment w:val="baseline"/>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（四）检验报告签发</w:t>
      </w:r>
    </w:p>
    <w:p w14:paraId="6CD38BC6">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检验报告单必须由具备相应资质的检验人员签发，上级检验师或医师复核。出现因检验结果错误导致医院医疗纠纷等不良后果，责任由供应商承担。</w:t>
      </w:r>
    </w:p>
    <w:p w14:paraId="0B3D1ED5">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textAlignment w:val="baseline"/>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（五）结果查询及咨询服务</w:t>
      </w:r>
    </w:p>
    <w:p w14:paraId="4C86CDA1">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1.供应商需提供服务电话、网络查询等多种渠道供业务咨询、报告查询、账单查询统计功能。</w:t>
      </w:r>
    </w:p>
    <w:p w14:paraId="143FD248">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val="en-US" w:eastAsia="zh-Hans"/>
        </w:rPr>
        <w:t>供应商</w:t>
      </w:r>
      <w:r>
        <w:rPr>
          <w:rFonts w:hint="eastAsia" w:ascii="仿宋_GB2312" w:hAnsi="仿宋_GB2312" w:eastAsia="仿宋_GB2312" w:cs="仿宋_GB2312"/>
          <w:sz w:val="32"/>
          <w:szCs w:val="32"/>
          <w:lang w:val="en-US" w:eastAsia="zh-CN"/>
        </w:rPr>
        <w:t>有专人电话跟进</w:t>
      </w:r>
      <w:r>
        <w:rPr>
          <w:rFonts w:hint="eastAsia" w:ascii="仿宋_GB2312" w:hAnsi="仿宋_GB2312" w:eastAsia="仿宋_GB2312" w:cs="仿宋_GB2312"/>
          <w:sz w:val="32"/>
          <w:szCs w:val="32"/>
          <w:lang w:val="en-US" w:eastAsia="zh-Hans"/>
        </w:rPr>
        <w:t>危急值报告工作</w:t>
      </w:r>
      <w:r>
        <w:rPr>
          <w:rFonts w:hint="eastAsia" w:ascii="仿宋_GB2312" w:hAnsi="仿宋_GB2312" w:eastAsia="仿宋_GB2312" w:cs="仿宋_GB2312"/>
          <w:sz w:val="32"/>
          <w:szCs w:val="32"/>
          <w:lang w:val="en-US" w:eastAsia="zh-CN"/>
        </w:rPr>
        <w:t>，确保患者检测信息与临床医生的畅通。</w:t>
      </w:r>
    </w:p>
    <w:p w14:paraId="0D4CA966">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3.供应商</w:t>
      </w:r>
      <w:r>
        <w:rPr>
          <w:rFonts w:hint="eastAsia" w:ascii="仿宋_GB2312" w:hAnsi="仿宋_GB2312" w:eastAsia="仿宋_GB2312" w:cs="仿宋_GB2312"/>
          <w:sz w:val="32"/>
          <w:szCs w:val="32"/>
          <w:lang w:val="en-US" w:eastAsia="zh-Hans"/>
        </w:rPr>
        <w:t>按</w:t>
      </w:r>
      <w:r>
        <w:rPr>
          <w:rFonts w:hint="eastAsia" w:ascii="仿宋_GB2312" w:hAnsi="仿宋_GB2312" w:eastAsia="仿宋_GB2312" w:cs="仿宋_GB2312"/>
          <w:sz w:val="32"/>
          <w:szCs w:val="32"/>
          <w:lang w:val="en-US" w:eastAsia="zh-CN"/>
        </w:rPr>
        <w:t>承诺的检测报告时间及时提供检测结果，医院急诊项目</w:t>
      </w:r>
      <w:r>
        <w:rPr>
          <w:rFonts w:hint="eastAsia" w:ascii="仿宋_GB2312" w:hAnsi="仿宋_GB2312" w:eastAsia="仿宋_GB2312" w:cs="仿宋_GB2312"/>
          <w:sz w:val="32"/>
          <w:szCs w:val="32"/>
          <w:lang w:val="en-US" w:eastAsia="zh-Hans"/>
        </w:rPr>
        <w:t>需</w:t>
      </w:r>
      <w:r>
        <w:rPr>
          <w:rFonts w:hint="eastAsia" w:ascii="仿宋_GB2312" w:hAnsi="仿宋_GB2312" w:eastAsia="仿宋_GB2312" w:cs="仿宋_GB2312"/>
          <w:sz w:val="32"/>
          <w:szCs w:val="32"/>
          <w:lang w:val="en-US" w:eastAsia="zh-CN"/>
        </w:rPr>
        <w:t>优先检测。</w:t>
      </w:r>
    </w:p>
    <w:p w14:paraId="35D5A998">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楷体_GB2312" w:hAnsi="楷体_GB2312" w:eastAsia="楷体_GB2312" w:cs="楷体_GB2312"/>
          <w:b/>
          <w:bCs/>
          <w:sz w:val="32"/>
          <w:szCs w:val="32"/>
          <w:lang w:val="en-US" w:eastAsia="zh-CN"/>
        </w:rPr>
      </w:pPr>
      <w:r>
        <w:rPr>
          <w:rFonts w:hint="eastAsia" w:ascii="黑体" w:hAnsi="黑体" w:eastAsia="黑体" w:cs="黑体"/>
          <w:sz w:val="32"/>
          <w:szCs w:val="32"/>
          <w:lang w:val="en-US" w:eastAsia="zh-CN"/>
        </w:rPr>
        <w:t>五、结算方式</w:t>
      </w:r>
    </w:p>
    <w:p w14:paraId="1F6C6060">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textAlignment w:val="baseline"/>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（一）结算期限</w:t>
      </w:r>
    </w:p>
    <w:p w14:paraId="0AC85B0C">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检验费用每月结算一次。 </w:t>
      </w:r>
    </w:p>
    <w:p w14:paraId="79463DAA">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textAlignment w:val="baseline"/>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（二）结算依据</w:t>
      </w:r>
    </w:p>
    <w:p w14:paraId="160B3FD0">
      <w:pPr>
        <w:keepNext w:val="0"/>
        <w:keepLines w:val="0"/>
        <w:pageBreakBefore w:val="0"/>
        <w:widowControl/>
        <w:kinsoku w:val="0"/>
        <w:wordWrap/>
        <w:overflowPunct/>
        <w:topLinePunct w:val="0"/>
        <w:autoSpaceDE w:val="0"/>
        <w:autoSpaceDN w:val="0"/>
        <w:bidi w:val="0"/>
        <w:adjustRightInd w:val="0"/>
        <w:snapToGrid w:val="0"/>
        <w:spacing w:line="600" w:lineRule="exact"/>
        <w:ind w:firstLine="420" w:firstLineChars="200"/>
        <w:jc w:val="left"/>
        <w:textAlignment w:val="baseline"/>
        <w:rPr>
          <w:rFonts w:hint="eastAsia" w:ascii="Arial" w:hAnsi="Arial" w:eastAsia="Arial" w:cs="Arial"/>
          <w:snapToGrid w:val="0"/>
          <w:color w:val="000000"/>
          <w:kern w:val="0"/>
          <w:sz w:val="21"/>
          <w:szCs w:val="21"/>
          <w:lang w:val="en-US" w:eastAsia="zh-CN"/>
        </w:rPr>
      </w:pPr>
      <w:r>
        <w:rPr>
          <w:rFonts w:hint="eastAsia" w:eastAsia="宋体"/>
          <w:lang w:val="en-US" w:eastAsia="zh-CN"/>
        </w:rPr>
        <w:t xml:space="preserve">  </w:t>
      </w:r>
      <w:bookmarkStart w:id="0" w:name="_GoBack"/>
      <w:bookmarkEnd w:id="0"/>
      <w:r>
        <w:rPr>
          <w:rFonts w:hint="eastAsia" w:ascii="仿宋_GB2312" w:hAnsi="仿宋_GB2312" w:eastAsia="仿宋_GB2312" w:cs="仿宋_GB2312"/>
          <w:sz w:val="32"/>
          <w:szCs w:val="32"/>
          <w:lang w:val="en-US" w:eastAsia="zh-CN"/>
        </w:rPr>
        <w:t>供应商根据医院开具的</w:t>
      </w:r>
      <w:r>
        <w:rPr>
          <w:rFonts w:hint="eastAsia" w:ascii="仿宋_GB2312" w:hAnsi="仿宋_GB2312" w:eastAsia="仿宋_GB2312" w:cs="仿宋_GB2312"/>
          <w:color w:val="auto"/>
          <w:sz w:val="32"/>
          <w:szCs w:val="32"/>
          <w:lang w:val="en-US" w:eastAsia="zh-CN"/>
        </w:rPr>
        <w:t>检验申请单，每月5日前</w:t>
      </w:r>
      <w:r>
        <w:rPr>
          <w:rFonts w:hint="eastAsia" w:ascii="仿宋_GB2312" w:hAnsi="仿宋_GB2312" w:eastAsia="仿宋_GB2312" w:cs="仿宋_GB2312"/>
          <w:color w:val="auto"/>
          <w:sz w:val="32"/>
          <w:szCs w:val="32"/>
          <w:lang w:val="en-US" w:eastAsia="zh-Hans"/>
        </w:rPr>
        <w:t>整理好</w:t>
      </w:r>
      <w:r>
        <w:rPr>
          <w:rFonts w:hint="eastAsia" w:ascii="仿宋_GB2312" w:hAnsi="仿宋_GB2312" w:eastAsia="仿宋_GB2312" w:cs="仿宋_GB2312"/>
          <w:color w:val="auto"/>
          <w:sz w:val="32"/>
          <w:szCs w:val="32"/>
          <w:lang w:val="en-US" w:eastAsia="zh-CN"/>
        </w:rPr>
        <w:t>上月检查项目及收费明细</w:t>
      </w:r>
      <w:r>
        <w:rPr>
          <w:rFonts w:hint="eastAsia" w:ascii="仿宋_GB2312" w:hAnsi="仿宋_GB2312" w:eastAsia="仿宋_GB2312" w:cs="仿宋_GB2312"/>
          <w:sz w:val="32"/>
          <w:szCs w:val="32"/>
          <w:lang w:val="en-US" w:eastAsia="zh-CN"/>
        </w:rPr>
        <w:t>，并与医院核对清楚准确无误后开具发票作为结算依据。新增加服务项目，</w:t>
      </w:r>
      <w:r>
        <w:rPr>
          <w:rFonts w:hint="eastAsia" w:ascii="仿宋_GB2312" w:hAnsi="仿宋_GB2312" w:eastAsia="仿宋_GB2312" w:cs="仿宋_GB2312"/>
          <w:color w:val="auto"/>
          <w:sz w:val="32"/>
          <w:szCs w:val="32"/>
          <w:lang w:val="en-US" w:eastAsia="zh-CN"/>
        </w:rPr>
        <w:t>需要按照最新</w:t>
      </w:r>
      <w:r>
        <w:rPr>
          <w:rFonts w:hint="eastAsia" w:ascii="仿宋_GB2312" w:hAnsi="仿宋_GB2312" w:eastAsia="仿宋_GB2312" w:cs="仿宋_GB2312"/>
          <w:color w:val="auto"/>
          <w:sz w:val="32"/>
          <w:szCs w:val="32"/>
          <w:lang w:val="en-US" w:eastAsia="zh-Hans"/>
        </w:rPr>
        <w:t>的</w:t>
      </w:r>
      <w:r>
        <w:rPr>
          <w:rFonts w:hint="eastAsia" w:ascii="仿宋_GB2312" w:hAnsi="仿宋_GB2312" w:eastAsia="仿宋_GB2312" w:cs="仿宋_GB2312"/>
          <w:color w:val="auto"/>
          <w:sz w:val="32"/>
          <w:szCs w:val="32"/>
          <w:lang w:val="en-US" w:eastAsia="zh-CN"/>
        </w:rPr>
        <w:t>《云浮市基本医疗服务价格项目目录价格表》</w:t>
      </w:r>
      <w:r>
        <w:rPr>
          <w:rFonts w:hint="eastAsia" w:ascii="仿宋_GB2312" w:hAnsi="仿宋_GB2312" w:eastAsia="仿宋_GB2312" w:cs="仿宋_GB2312"/>
          <w:color w:val="auto"/>
          <w:sz w:val="32"/>
          <w:szCs w:val="32"/>
          <w:lang w:val="en-US" w:eastAsia="zh-Hans"/>
        </w:rPr>
        <w:t>，与医院按照</w:t>
      </w:r>
      <w:r>
        <w:rPr>
          <w:rFonts w:hint="eastAsia" w:ascii="仿宋_GB2312" w:hAnsi="仿宋_GB2312" w:eastAsia="仿宋_GB2312" w:cs="仿宋_GB2312"/>
          <w:color w:val="auto"/>
          <w:sz w:val="32"/>
          <w:szCs w:val="32"/>
          <w:lang w:val="en-US" w:eastAsia="zh-CN"/>
        </w:rPr>
        <w:t>折扣率(折扣率=1-下浮率)结算</w:t>
      </w:r>
      <w:r>
        <w:rPr>
          <w:rFonts w:hint="eastAsia" w:ascii="仿宋_GB2312" w:hAnsi="仿宋_GB2312" w:eastAsia="仿宋_GB2312" w:cs="仿宋_GB2312"/>
          <w:sz w:val="32"/>
          <w:szCs w:val="32"/>
          <w:lang w:val="en-US" w:eastAsia="zh-CN"/>
        </w:rPr>
        <w:t>。</w:t>
      </w:r>
    </w:p>
    <w:p w14:paraId="5D3C3FC5">
      <w:pPr>
        <w:bidi w:val="0"/>
        <w:rPr>
          <w:rFonts w:hint="eastAsia"/>
        </w:rPr>
      </w:pPr>
    </w:p>
    <w:p w14:paraId="29D8E3B8">
      <w:pPr>
        <w:bidi w:val="0"/>
        <w:rPr>
          <w:rFonts w:hint="default" w:eastAsia="宋体"/>
          <w:lang w:val="en-US" w:eastAsia="zh-CN"/>
        </w:rPr>
      </w:pPr>
    </w:p>
    <w:p w14:paraId="74A388CF">
      <w:pPr>
        <w:bidi w:val="0"/>
        <w:rPr>
          <w:rFonts w:hint="eastAsia"/>
        </w:rPr>
      </w:pPr>
    </w:p>
    <w:p w14:paraId="65D6F485">
      <w:pPr>
        <w:bidi w:val="0"/>
        <w:rPr>
          <w:rFonts w:hint="eastAsia"/>
        </w:rPr>
      </w:pPr>
    </w:p>
    <w:p w14:paraId="3BDEA32A">
      <w:pPr>
        <w:bidi w:val="0"/>
        <w:jc w:val="right"/>
        <w:rPr>
          <w:rFonts w:hint="eastAsia" w:ascii="仿宋" w:hAnsi="仿宋" w:eastAsia="仿宋" w:cs="仿宋"/>
          <w:snapToGrid w:val="0"/>
          <w:color w:val="000000"/>
          <w:kern w:val="0"/>
          <w:sz w:val="32"/>
          <w:szCs w:val="21"/>
          <w:lang w:val="en-US" w:eastAsia="zh-CN"/>
        </w:rPr>
      </w:pPr>
    </w:p>
    <w:p w14:paraId="256DD0A9">
      <w:pPr>
        <w:bidi w:val="0"/>
        <w:jc w:val="right"/>
        <w:rPr>
          <w:rFonts w:hint="eastAsia" w:ascii="仿宋" w:hAnsi="仿宋" w:eastAsia="仿宋" w:cs="仿宋"/>
          <w:snapToGrid w:val="0"/>
          <w:color w:val="000000"/>
          <w:kern w:val="0"/>
          <w:sz w:val="32"/>
          <w:szCs w:val="21"/>
          <w:lang w:val="en-US" w:eastAsia="zh-CN"/>
        </w:rPr>
      </w:pPr>
      <w:r>
        <w:rPr>
          <w:rFonts w:hint="eastAsia" w:ascii="仿宋" w:hAnsi="仿宋" w:eastAsia="仿宋" w:cs="仿宋"/>
          <w:snapToGrid w:val="0"/>
          <w:color w:val="000000"/>
          <w:kern w:val="0"/>
          <w:sz w:val="32"/>
          <w:szCs w:val="21"/>
          <w:lang w:val="en-US" w:eastAsia="zh-CN"/>
        </w:rPr>
        <w:t>郁南县中医院</w:t>
      </w:r>
    </w:p>
    <w:p w14:paraId="1CECECDF">
      <w:pPr>
        <w:pStyle w:val="2"/>
        <w:jc w:val="right"/>
        <w:rPr>
          <w:rFonts w:hint="eastAsia" w:ascii="仿宋" w:hAnsi="仿宋" w:eastAsia="仿宋" w:cs="仿宋"/>
          <w:lang w:val="en-US" w:eastAsia="zh-CN"/>
        </w:rPr>
      </w:pPr>
      <w:r>
        <w:rPr>
          <w:rFonts w:hint="eastAsia" w:ascii="仿宋" w:hAnsi="仿宋" w:eastAsia="仿宋" w:cs="仿宋"/>
          <w:lang w:val="en-US" w:eastAsia="zh-CN"/>
        </w:rPr>
        <w:t>2024年7月16日</w:t>
      </w:r>
    </w:p>
    <w:p w14:paraId="7AE199C3">
      <w:pPr>
        <w:bidi w:val="0"/>
        <w:jc w:val="both"/>
        <w:rPr>
          <w:rFonts w:hint="eastAsia"/>
        </w:rPr>
      </w:pPr>
    </w:p>
    <w:sectPr>
      <w:headerReference r:id="rId5" w:type="default"/>
      <w:footerReference r:id="rId6" w:type="default"/>
      <w:pgSz w:w="11906" w:h="16838"/>
      <w:pgMar w:top="1440" w:right="1800" w:bottom="1440" w:left="1800" w:header="851" w:footer="850"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9D9C2904-8C48-4C5D-A13D-9F5E1F79F534}"/>
  </w:font>
  <w:font w:name="黑体">
    <w:panose1 w:val="02010609060101010101"/>
    <w:charset w:val="86"/>
    <w:family w:val="auto"/>
    <w:pitch w:val="default"/>
    <w:sig w:usb0="800002BF" w:usb1="38CF7CFA" w:usb2="00000016" w:usb3="00000000" w:csb0="00040001" w:csb1="00000000"/>
    <w:embedRegular r:id="rId2" w:fontKey="{9C891775-C44E-4E39-9E68-58454B42F42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embedRegular r:id="rId3" w:fontKey="{88847468-CFAA-47BA-818B-43463249CC55}"/>
  </w:font>
  <w:font w:name="Cambria">
    <w:panose1 w:val="02040503050406030204"/>
    <w:charset w:val="00"/>
    <w:family w:val="roman"/>
    <w:pitch w:val="default"/>
    <w:sig w:usb0="E00002FF" w:usb1="400004FF" w:usb2="00000000" w:usb3="00000000" w:csb0="2000019F" w:csb1="00000000"/>
  </w:font>
  <w:font w:name="Open Sans">
    <w:altName w:val="Times New Roman"/>
    <w:panose1 w:val="00000000000000000000"/>
    <w:charset w:val="00"/>
    <w:family w:val="auto"/>
    <w:pitch w:val="default"/>
    <w:sig w:usb0="00000000" w:usb1="00000000" w:usb2="00000000" w:usb3="00000000" w:csb0="00040001" w:csb1="00000000"/>
  </w:font>
  <w:font w:name="汉仪中圆简">
    <w:altName w:val="Segoe Print"/>
    <w:panose1 w:val="00000000000000000000"/>
    <w:charset w:val="00"/>
    <w:family w:val="auto"/>
    <w:pitch w:val="default"/>
    <w:sig w:usb0="00000000" w:usb1="00000000" w:usb2="00000000" w:usb3="00000000" w:csb0="00000000" w:csb1="00000000"/>
  </w:font>
  <w:font w:name="方正小标宋简体">
    <w:panose1 w:val="02000000000000000000"/>
    <w:charset w:val="86"/>
    <w:family w:val="auto"/>
    <w:pitch w:val="default"/>
    <w:sig w:usb0="00000001" w:usb1="08000000" w:usb2="00000000" w:usb3="00000000" w:csb0="00040000" w:csb1="00000000"/>
    <w:embedRegular r:id="rId4" w:fontKey="{59101C83-78D5-4C3E-869D-BEFD2111F7C4}"/>
  </w:font>
  <w:font w:name="楷体_GB2312">
    <w:panose1 w:val="02010609030101010101"/>
    <w:charset w:val="86"/>
    <w:family w:val="auto"/>
    <w:pitch w:val="default"/>
    <w:sig w:usb0="00000001" w:usb1="080E0000" w:usb2="00000000" w:usb3="00000000" w:csb0="00040000" w:csb1="00000000"/>
    <w:embedRegular r:id="rId5" w:fontKey="{E1388618-F4D7-4AA2-B6E7-1D99D3CB5264}"/>
  </w:font>
  <w:font w:name="仿宋">
    <w:panose1 w:val="02010609060101010101"/>
    <w:charset w:val="86"/>
    <w:family w:val="auto"/>
    <w:pitch w:val="default"/>
    <w:sig w:usb0="800002BF" w:usb1="38CF7CFA" w:usb2="00000016" w:usb3="00000000" w:csb0="00040001" w:csb1="00000000"/>
    <w:embedRegular r:id="rId6" w:fontKey="{69DD9A3A-3188-42B5-B986-6F636DB3DBBA}"/>
  </w:font>
  <w:font w:name="Lucida Sans Unicode">
    <w:panose1 w:val="020B0602030504020204"/>
    <w:charset w:val="00"/>
    <w:family w:val="auto"/>
    <w:pitch w:val="default"/>
    <w:sig w:usb0="80001AFF" w:usb1="0000396B" w:usb2="00000000" w:usb3="00000000" w:csb0="200000BF" w:csb1="D7F70000"/>
    <w:embedRegular r:id="rId7" w:fontKey="{457667C1-9841-4159-AB6A-E5AA240197AE}"/>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2A4588">
    <w:pPr>
      <w:spacing w:before="1" w:line="179" w:lineRule="auto"/>
      <w:ind w:left="3694"/>
      <w:rPr>
        <w:rFonts w:ascii="Lucida Sans Unicode" w:hAnsi="Lucida Sans Unicode" w:eastAsia="Lucida Sans Unicode" w:cs="Lucida Sans Unicode"/>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4DB92C">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C4DB92C">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A5BFD5">
    <w:pPr>
      <w:pStyle w:val="27"/>
      <w:spacing w:line="360" w:lineRule="auto"/>
      <w:jc w:val="center"/>
      <w:rPr>
        <w:sz w:val="32"/>
        <w:szCs w:val="3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9088BA"/>
    <w:multiLevelType w:val="singleLevel"/>
    <w:tmpl w:val="469088BA"/>
    <w:lvl w:ilvl="0" w:tentative="0">
      <w:start w:val="1"/>
      <w:numFmt w:val="chineseCounting"/>
      <w:pStyle w:val="14"/>
      <w:suff w:val="nothing"/>
      <w:lvlText w:val="（%1）"/>
      <w:lvlJc w:val="left"/>
      <w:rPr>
        <w:rFonts w:hint="eastAsia"/>
        <w:b/>
        <w:bCs/>
        <w:sz w:val="18"/>
        <w:szCs w:val="18"/>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web"/>
  <w:zoom w:percent="70"/>
  <w:displayBackgroundShape w:val="1"/>
  <w:embedTrueTypeFonts/>
  <w:saveSubsetFonts/>
  <w:bordersDoNotSurroundHeader w:val="0"/>
  <w:bordersDoNotSurroundFooter w:val="0"/>
  <w:documentProtection w:enforcement="0"/>
  <w:displayHorizontalDrawingGridEvery w:val="0"/>
  <w:displayVerticalDrawingGridEvery w:val="2"/>
  <w:characterSpacingControl w:val="doNotCompress"/>
  <w:footnotePr>
    <w:footnote w:id="0"/>
    <w:footnote w:id="1"/>
  </w:footnotePr>
  <w:endnotePr>
    <w:endnote w:id="0"/>
    <w:endnote w:id="1"/>
  </w:endnotePr>
  <w:compat>
    <w:spaceForUL/>
    <w:balanceSingleByteDoubleByteWidth/>
    <w:ulTrailSpace/>
    <w:doNotExpandShiftReturn/>
    <w:adjustLineHeightInTable/>
    <w:doNotWrapTextWithPunct/>
    <w:doNotUseEastAsianBreakRules/>
    <w:useFELayout/>
    <w:doNotUseIndentAsNumberingTabStop/>
    <w:compatSetting w:name="compatibilityMode" w:uri="http://schemas.microsoft.com/office/word" w:val="14"/>
  </w:compat>
  <w:docVars>
    <w:docVar w:name="commondata" w:val="eyJoZGlkIjoiYzAwNjE2MzZhNjljNDE1NDVkNDI2OWEzMWJhMWY3MTEifQ=="/>
  </w:docVars>
  <w:rsids>
    <w:rsidRoot w:val="00172A27"/>
    <w:rsid w:val="01B65389"/>
    <w:rsid w:val="031B2C7F"/>
    <w:rsid w:val="08664BD9"/>
    <w:rsid w:val="08EC29C7"/>
    <w:rsid w:val="09EE4050"/>
    <w:rsid w:val="0A481E7F"/>
    <w:rsid w:val="0C9E222B"/>
    <w:rsid w:val="0E975461"/>
    <w:rsid w:val="128471F9"/>
    <w:rsid w:val="13370CE3"/>
    <w:rsid w:val="13900B69"/>
    <w:rsid w:val="149607BE"/>
    <w:rsid w:val="1D691539"/>
    <w:rsid w:val="1F9574BD"/>
    <w:rsid w:val="21FE57EE"/>
    <w:rsid w:val="22405E06"/>
    <w:rsid w:val="22CB353B"/>
    <w:rsid w:val="23C6058D"/>
    <w:rsid w:val="24373239"/>
    <w:rsid w:val="24E707BB"/>
    <w:rsid w:val="278056E8"/>
    <w:rsid w:val="28E514B5"/>
    <w:rsid w:val="2B08765C"/>
    <w:rsid w:val="2B793CD6"/>
    <w:rsid w:val="2D7E3C87"/>
    <w:rsid w:val="330864CC"/>
    <w:rsid w:val="34BF705E"/>
    <w:rsid w:val="355E7535"/>
    <w:rsid w:val="362D624A"/>
    <w:rsid w:val="388C0288"/>
    <w:rsid w:val="3A543DA5"/>
    <w:rsid w:val="3B5A363D"/>
    <w:rsid w:val="3FB47094"/>
    <w:rsid w:val="40EA5463"/>
    <w:rsid w:val="427F2248"/>
    <w:rsid w:val="433B01F8"/>
    <w:rsid w:val="47C45506"/>
    <w:rsid w:val="499510FE"/>
    <w:rsid w:val="4A402D2F"/>
    <w:rsid w:val="4BB46D99"/>
    <w:rsid w:val="4EEE3BC4"/>
    <w:rsid w:val="50146722"/>
    <w:rsid w:val="50B73A16"/>
    <w:rsid w:val="543C16DA"/>
    <w:rsid w:val="558A6D00"/>
    <w:rsid w:val="56F75D8C"/>
    <w:rsid w:val="5DE05293"/>
    <w:rsid w:val="5EEA7DA2"/>
    <w:rsid w:val="5FD01870"/>
    <w:rsid w:val="60A2320D"/>
    <w:rsid w:val="60CD2A41"/>
    <w:rsid w:val="621B48CD"/>
    <w:rsid w:val="6312637B"/>
    <w:rsid w:val="695F683E"/>
    <w:rsid w:val="69D21C4E"/>
    <w:rsid w:val="6C8374F0"/>
    <w:rsid w:val="6F3129C4"/>
    <w:rsid w:val="6FC508F5"/>
    <w:rsid w:val="70A46B2D"/>
    <w:rsid w:val="71932548"/>
    <w:rsid w:val="727F572A"/>
    <w:rsid w:val="74CC6652"/>
    <w:rsid w:val="779C230C"/>
    <w:rsid w:val="79A656C4"/>
    <w:rsid w:val="7DBF4FA6"/>
    <w:rsid w:val="7E425FD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1">
    <w:name w:val="Default Paragraph Font"/>
    <w:semiHidden/>
    <w:qFormat/>
    <w:uiPriority w:val="0"/>
  </w:style>
  <w:style w:type="table" w:default="1" w:styleId="9">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qFormat/>
    <w:uiPriority w:val="0"/>
    <w:rPr>
      <w:rFonts w:ascii="仿宋_GB2312" w:hAnsi="Times New Roman" w:eastAsia="仿宋_GB2312" w:cs="Times New Roman"/>
      <w:sz w:val="32"/>
    </w:r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8">
    <w:name w:val="Title"/>
    <w:basedOn w:val="1"/>
    <w:next w:val="1"/>
    <w:qFormat/>
    <w:uiPriority w:val="10"/>
    <w:pPr>
      <w:spacing w:before="240" w:after="60"/>
      <w:jc w:val="center"/>
      <w:outlineLvl w:val="0"/>
    </w:pPr>
    <w:rPr>
      <w:rFonts w:asciiTheme="majorHAnsi" w:hAnsiTheme="majorHAnsi" w:cstheme="majorBidi"/>
      <w:b/>
      <w:bCs/>
      <w:sz w:val="32"/>
      <w:szCs w:val="32"/>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unhideWhenUsed/>
    <w:qFormat/>
    <w:uiPriority w:val="0"/>
    <w:rPr>
      <w:rFonts w:hint="default" w:ascii="Open Sans" w:hAnsi="Open Sans" w:eastAsia="Open Sans" w:cs="Open Sans"/>
      <w:color w:val="428BCA"/>
      <w:sz w:val="24"/>
      <w:szCs w:val="24"/>
    </w:rPr>
  </w:style>
  <w:style w:type="table" w:customStyle="1" w:styleId="13">
    <w:name w:val="Table Normal"/>
    <w:unhideWhenUsed/>
    <w:qFormat/>
    <w:uiPriority w:val="0"/>
    <w:tblPr>
      <w:tblCellMar>
        <w:top w:w="0" w:type="dxa"/>
        <w:left w:w="0" w:type="dxa"/>
        <w:bottom w:w="0" w:type="dxa"/>
        <w:right w:w="0" w:type="dxa"/>
      </w:tblCellMar>
    </w:tblPr>
  </w:style>
  <w:style w:type="paragraph" w:customStyle="1" w:styleId="14">
    <w:name w:val="样式1"/>
    <w:basedOn w:val="7"/>
    <w:qFormat/>
    <w:uiPriority w:val="0"/>
    <w:pPr>
      <w:numPr>
        <w:ilvl w:val="0"/>
        <w:numId w:val="1"/>
      </w:numPr>
      <w:spacing w:before="148" w:line="360" w:lineRule="auto"/>
      <w:outlineLvl w:val="0"/>
    </w:pPr>
    <w:rPr>
      <w:rFonts w:hint="eastAsia" w:ascii="宋体" w:hAnsi="宋体" w:eastAsia="宋体" w:cs="宋体"/>
      <w:spacing w:val="5"/>
      <w:sz w:val="32"/>
      <w:szCs w:val="20"/>
      <w:lang w:val="en-US" w:eastAsia="zh-CN"/>
    </w:rPr>
  </w:style>
  <w:style w:type="paragraph" w:customStyle="1" w:styleId="15">
    <w:name w:val="稻壳 标题 1"/>
    <w:basedOn w:val="1"/>
    <w:qFormat/>
    <w:uiPriority w:val="0"/>
    <w:pPr>
      <w:snapToGrid/>
      <w:spacing w:before="480" w:line="276" w:lineRule="auto"/>
    </w:pPr>
    <w:rPr>
      <w:rFonts w:ascii="Arial" w:eastAsia="汉仪中圆简"/>
      <w:color w:val="auto"/>
      <w:sz w:val="36"/>
    </w:rPr>
  </w:style>
  <w:style w:type="paragraph" w:customStyle="1" w:styleId="16">
    <w:name w:val="稻壳 标题 3"/>
    <w:basedOn w:val="1"/>
    <w:qFormat/>
    <w:uiPriority w:val="0"/>
    <w:pPr>
      <w:snapToGrid/>
      <w:spacing w:before="160" w:line="276" w:lineRule="auto"/>
    </w:pPr>
    <w:rPr>
      <w:rFonts w:ascii="Arial" w:eastAsia="汉仪中圆简"/>
      <w:color w:val="auto"/>
      <w:sz w:val="26"/>
    </w:rPr>
  </w:style>
  <w:style w:type="paragraph" w:customStyle="1" w:styleId="17">
    <w:name w:val="稻壳 标题 2"/>
    <w:basedOn w:val="1"/>
    <w:qFormat/>
    <w:uiPriority w:val="0"/>
    <w:pPr>
      <w:snapToGrid/>
      <w:spacing w:before="200" w:line="276" w:lineRule="auto"/>
    </w:pPr>
    <w:rPr>
      <w:rFonts w:ascii="Arial" w:eastAsia="汉仪中圆简"/>
      <w:color w:val="auto"/>
      <w:sz w:val="30"/>
    </w:rPr>
  </w:style>
  <w:style w:type="paragraph" w:customStyle="1" w:styleId="18">
    <w:name w:val="稻壳 标题 4"/>
    <w:basedOn w:val="1"/>
    <w:qFormat/>
    <w:uiPriority w:val="0"/>
    <w:pPr>
      <w:snapToGrid/>
      <w:spacing w:before="120" w:line="276" w:lineRule="auto"/>
    </w:pPr>
    <w:rPr>
      <w:rFonts w:ascii="Arial" w:eastAsia="汉仪中圆简"/>
      <w:color w:val="auto"/>
      <w:sz w:val="24"/>
    </w:rPr>
  </w:style>
  <w:style w:type="paragraph" w:customStyle="1" w:styleId="19">
    <w:name w:val="稻壳 标题"/>
    <w:basedOn w:val="1"/>
    <w:qFormat/>
    <w:uiPriority w:val="0"/>
    <w:pPr>
      <w:snapToGrid/>
      <w:spacing w:after="240"/>
      <w:jc w:val="center"/>
    </w:pPr>
    <w:rPr>
      <w:rFonts w:ascii="Arial" w:eastAsia="汉仪中圆简"/>
      <w:color w:val="auto"/>
      <w:sz w:val="60"/>
    </w:rPr>
  </w:style>
  <w:style w:type="paragraph" w:customStyle="1" w:styleId="20">
    <w:name w:val="稻壳 正文"/>
    <w:basedOn w:val="1"/>
    <w:qFormat/>
    <w:uiPriority w:val="0"/>
    <w:pPr>
      <w:snapToGrid/>
      <w:spacing w:after="80" w:line="360" w:lineRule="auto"/>
      <w:ind w:firstLine="482"/>
    </w:pPr>
    <w:rPr>
      <w:rFonts w:ascii="Arial" w:eastAsia="汉仪中圆简"/>
      <w:color w:val="auto"/>
      <w:sz w:val="24"/>
    </w:rPr>
  </w:style>
  <w:style w:type="paragraph" w:customStyle="1" w:styleId="21">
    <w:name w:val="稻壳 题注"/>
    <w:basedOn w:val="1"/>
    <w:qFormat/>
    <w:uiPriority w:val="0"/>
    <w:pPr>
      <w:snapToGrid/>
      <w:spacing w:after="80" w:line="360" w:lineRule="auto"/>
      <w:jc w:val="center"/>
    </w:pPr>
    <w:rPr>
      <w:rFonts w:ascii="Arial" w:eastAsia="汉仪中圆简"/>
      <w:color w:val="auto"/>
      <w:sz w:val="24"/>
    </w:rPr>
  </w:style>
  <w:style w:type="paragraph" w:customStyle="1" w:styleId="22">
    <w:name w:val="稻壳 目录标题"/>
    <w:basedOn w:val="1"/>
    <w:qFormat/>
    <w:uiPriority w:val="0"/>
    <w:pPr>
      <w:snapToGrid/>
      <w:spacing w:before="480" w:line="276" w:lineRule="auto"/>
      <w:jc w:val="center"/>
    </w:pPr>
    <w:rPr>
      <w:rFonts w:ascii="Arial" w:eastAsia="汉仪中圆简"/>
      <w:color w:val="auto"/>
      <w:sz w:val="36"/>
    </w:rPr>
  </w:style>
  <w:style w:type="paragraph" w:customStyle="1" w:styleId="23">
    <w:name w:val="稻壳 目录 1"/>
    <w:basedOn w:val="1"/>
    <w:qFormat/>
    <w:uiPriority w:val="0"/>
    <w:pPr>
      <w:spacing w:after="200" w:line="276" w:lineRule="auto"/>
    </w:pPr>
    <w:rPr>
      <w:rFonts w:ascii="Arial" w:eastAsia="汉仪中圆简"/>
      <w:color w:val="auto"/>
      <w:sz w:val="22"/>
    </w:rPr>
  </w:style>
  <w:style w:type="paragraph" w:customStyle="1" w:styleId="24">
    <w:name w:val="稻壳 目录 3"/>
    <w:basedOn w:val="1"/>
    <w:qFormat/>
    <w:uiPriority w:val="0"/>
    <w:pPr>
      <w:spacing w:after="200" w:line="276" w:lineRule="auto"/>
      <w:ind w:left="840" w:leftChars="400"/>
    </w:pPr>
    <w:rPr>
      <w:rFonts w:ascii="Arial" w:eastAsia="汉仪中圆简"/>
      <w:color w:val="auto"/>
      <w:sz w:val="22"/>
    </w:rPr>
  </w:style>
  <w:style w:type="paragraph" w:customStyle="1" w:styleId="25">
    <w:name w:val="稻壳 目录 2"/>
    <w:basedOn w:val="1"/>
    <w:qFormat/>
    <w:uiPriority w:val="0"/>
    <w:pPr>
      <w:spacing w:after="200" w:line="276" w:lineRule="auto"/>
      <w:ind w:left="420" w:leftChars="200"/>
    </w:pPr>
    <w:rPr>
      <w:rFonts w:ascii="Arial" w:eastAsia="汉仪中圆简"/>
      <w:color w:val="auto"/>
      <w:sz w:val="22"/>
    </w:rPr>
  </w:style>
  <w:style w:type="paragraph" w:customStyle="1" w:styleId="26">
    <w:name w:val="稻壳 目录 4"/>
    <w:basedOn w:val="1"/>
    <w:qFormat/>
    <w:uiPriority w:val="0"/>
    <w:pPr>
      <w:spacing w:after="200" w:line="276" w:lineRule="auto"/>
      <w:ind w:left="1260" w:leftChars="600"/>
    </w:pPr>
    <w:rPr>
      <w:rFonts w:ascii="Arial" w:eastAsia="汉仪中圆简"/>
      <w:color w:val="auto"/>
      <w:sz w:val="22"/>
    </w:rPr>
  </w:style>
  <w:style w:type="paragraph" w:customStyle="1" w:styleId="27">
    <w:name w:val="样式 标题 + 四号 两端对齐 首行缩进:  9.9 字符 右  -5.4 字符"/>
    <w:basedOn w:val="8"/>
    <w:qFormat/>
    <w:uiPriority w:val="99"/>
    <w:pPr>
      <w:spacing w:before="120" w:after="120"/>
    </w:pPr>
    <w:rPr>
      <w:rFonts w:ascii="Arial" w:hAnsi="Arial" w:cs="Arial"/>
      <w:sz w:val="28"/>
      <w:szCs w:val="2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Pages>
  <Words>1872</Words>
  <Characters>1906</Characters>
  <Lines>1</Lines>
  <Paragraphs>1</Paragraphs>
  <TotalTime>0</TotalTime>
  <ScaleCrop>false</ScaleCrop>
  <LinksUpToDate>false</LinksUpToDate>
  <CharactersWithSpaces>1938</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2023-01-31T17:45:00Z</dcterms:created>
  <dc:creator>15382</dc:creator>
  <cp:lastModifiedBy>Leo</cp:lastModifiedBy>
  <cp:lastPrinted>2024-07-08T00:20:00Z</cp:lastPrinted>
  <dcterms:modified xsi:type="dcterms:W3CDTF">2024-07-16T08:13:59Z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2023-05-17T05:37:00Z</vt:filetime>
  </property>
  <property fmtid="{D5CDD505-2E9C-101B-9397-08002B2CF9AE}" pid="4" name="KSOProductBuildVer">
    <vt:lpwstr>2052-12.1.0.17133</vt:lpwstr>
  </property>
  <property fmtid="{D5CDD505-2E9C-101B-9397-08002B2CF9AE}" pid="5" name="ICV">
    <vt:lpwstr>F2533CC87B81458FBDCDC462FA30F972_13</vt:lpwstr>
  </property>
</Properties>
</file>